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4CEDB65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511BE8">
        <w:rPr>
          <w:bCs/>
          <w:noProof w:val="0"/>
          <w:sz w:val="24"/>
          <w:szCs w:val="24"/>
        </w:rPr>
        <w:t>04271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99F3A2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1DDA">
        <w:rPr>
          <w:rFonts w:cs="Arial"/>
          <w:b/>
          <w:bCs/>
          <w:sz w:val="24"/>
          <w:lang w:eastAsia="ja-JP"/>
        </w:rPr>
        <w:t>10.2.2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20ECFCB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A1DDA">
        <w:rPr>
          <w:rFonts w:ascii="Arial" w:hAnsi="Arial" w:cs="Arial"/>
          <w:b/>
          <w:bCs/>
          <w:sz w:val="24"/>
        </w:rPr>
        <w:t xml:space="preserve">Possibilities </w:t>
      </w:r>
      <w:r w:rsidR="008A1DDA" w:rsidRPr="008A1DDA">
        <w:rPr>
          <w:rFonts w:ascii="Arial" w:hAnsi="Arial" w:cs="Arial"/>
          <w:b/>
          <w:bCs/>
          <w:sz w:val="24"/>
        </w:rPr>
        <w:t>to unify split bearer type options for LTE-NR DC</w:t>
      </w:r>
    </w:p>
    <w:p w14:paraId="3AC3A0B1" w14:textId="6AE7DB1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A1DDA" w:rsidRPr="008A1DDA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B09A171" w14:textId="635F1E96" w:rsidR="007E3DB6" w:rsidRDefault="007E3DB6" w:rsidP="00CD4C7B">
      <w:r>
        <w:t>Following the discussion of [1] in RAN2#97bis, it was agreed that “</w:t>
      </w:r>
      <w:r w:rsidRPr="000C559C">
        <w:t xml:space="preserve">RAN2 aims to </w:t>
      </w:r>
      <w:r>
        <w:t>unify</w:t>
      </w:r>
      <w:r w:rsidRPr="000C559C">
        <w:t xml:space="preserve"> </w:t>
      </w:r>
      <w:r>
        <w:t xml:space="preserve">split </w:t>
      </w:r>
      <w:r w:rsidRPr="000C559C">
        <w:t>bearer type option</w:t>
      </w:r>
      <w:r>
        <w:t>s</w:t>
      </w:r>
      <w:r w:rsidRPr="000C559C">
        <w:t xml:space="preserve"> for LTE-NR DC, i.e.,</w:t>
      </w:r>
      <w:r w:rsidR="00A27DE4">
        <w:t xml:space="preserve"> </w:t>
      </w:r>
      <w:r w:rsidRPr="000C559C">
        <w:t>Option</w:t>
      </w:r>
      <w:r w:rsidR="00A27DE4">
        <w:t xml:space="preserve"> </w:t>
      </w:r>
      <w:r w:rsidRPr="000C559C">
        <w:t>3/4/7 family</w:t>
      </w:r>
      <w:r>
        <w:t>”. This contribution discusses this issue further.</w:t>
      </w:r>
    </w:p>
    <w:p w14:paraId="127ACA6D" w14:textId="4A047FC2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E3DB6">
        <w:t>Discussion</w:t>
      </w:r>
    </w:p>
    <w:p w14:paraId="623C0CE2" w14:textId="51232ED0" w:rsidR="007E3DB6" w:rsidRDefault="007E3DB6" w:rsidP="00CD4C7B">
      <w:r>
        <w:t xml:space="preserve">In the following </w:t>
      </w:r>
      <w:r w:rsidR="0001284B">
        <w:t>sub-sections, we consider various aspects of unifying split bearers.</w:t>
      </w:r>
    </w:p>
    <w:p w14:paraId="20EFABFD" w14:textId="39FB51A5" w:rsidR="0001284B" w:rsidRDefault="0001284B" w:rsidP="0001284B">
      <w:pPr>
        <w:pStyle w:val="Heading2"/>
      </w:pPr>
      <w:r>
        <w:t>2</w:t>
      </w:r>
      <w:r w:rsidRPr="006E13D1">
        <w:t>.1</w:t>
      </w:r>
      <w:r w:rsidRPr="006E13D1">
        <w:tab/>
      </w:r>
      <w:r>
        <w:t>PDCP type</w:t>
      </w:r>
    </w:p>
    <w:p w14:paraId="7977EF65" w14:textId="53254FE9" w:rsidR="0001284B" w:rsidRDefault="0001284B" w:rsidP="0001284B">
      <w:r>
        <w:t xml:space="preserve">As suggested in [1], PDCP operation for all split bearers in LTE-NR DC could be one and the same, </w:t>
      </w:r>
      <w:r w:rsidR="00A27DE4">
        <w:t>based on NR-PDCP to be</w:t>
      </w:r>
      <w:r>
        <w:t xml:space="preserve"> specified in 38.323.</w:t>
      </w:r>
    </w:p>
    <w:p w14:paraId="22F64B0D" w14:textId="0AC487C6" w:rsidR="0001284B" w:rsidRPr="0001284B" w:rsidRDefault="0001284B" w:rsidP="00BD23DF">
      <w:r w:rsidRPr="0001284B">
        <w:rPr>
          <w:b/>
        </w:rPr>
        <w:t>Observation 1</w:t>
      </w:r>
      <w:r w:rsidR="00BD23DF">
        <w:t xml:space="preserve">: </w:t>
      </w:r>
      <w:bookmarkStart w:id="1" w:name="_GoBack"/>
      <w:bookmarkEnd w:id="1"/>
      <w:r>
        <w:t xml:space="preserve">PDCP operation for all split bearers in LTE-NR DC could be one and the same, </w:t>
      </w:r>
      <w:r w:rsidR="005D1F3E">
        <w:t>based on the NR-PDCP specification</w:t>
      </w:r>
      <w:r>
        <w:t>.</w:t>
      </w:r>
    </w:p>
    <w:p w14:paraId="7E3DE12E" w14:textId="33F47A78" w:rsidR="0001284B" w:rsidRDefault="0001284B" w:rsidP="0001284B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Security key</w:t>
      </w:r>
    </w:p>
    <w:p w14:paraId="450B22F0" w14:textId="6220BB3B" w:rsidR="001E3B93" w:rsidRDefault="001E3B93" w:rsidP="001E3B93">
      <w:r>
        <w:t xml:space="preserve">Since MeNB has access to both </w:t>
      </w:r>
      <w:proofErr w:type="spellStart"/>
      <w:r>
        <w:t>KeNB</w:t>
      </w:r>
      <w:proofErr w:type="spellEnd"/>
      <w:r>
        <w:t xml:space="preserve"> and S-</w:t>
      </w:r>
      <w:proofErr w:type="spellStart"/>
      <w:r>
        <w:t>KeNB</w:t>
      </w:r>
      <w:proofErr w:type="spellEnd"/>
      <w:r>
        <w:t xml:space="preserve">, it seems feasible to specify that for </w:t>
      </w:r>
      <w:r w:rsidR="009141A0">
        <w:t>a</w:t>
      </w:r>
      <w:r w:rsidR="002B5CE1">
        <w:t>ll</w:t>
      </w:r>
      <w:r w:rsidR="009141A0">
        <w:t xml:space="preserve"> </w:t>
      </w:r>
      <w:r>
        <w:t xml:space="preserve">split bearers </w:t>
      </w:r>
      <w:r w:rsidR="00A80FAA">
        <w:t>S-</w:t>
      </w:r>
      <w:proofErr w:type="spellStart"/>
      <w:r w:rsidR="00A80FAA">
        <w:t>KeNB</w:t>
      </w:r>
      <w:proofErr w:type="spellEnd"/>
      <w:r w:rsidR="00A80FAA">
        <w:t xml:space="preserve"> can be configured to be used</w:t>
      </w:r>
      <w:r>
        <w:t>.</w:t>
      </w:r>
    </w:p>
    <w:p w14:paraId="6577FC20" w14:textId="38C1DAD9" w:rsidR="001E3B93" w:rsidRPr="00BD23DF" w:rsidRDefault="001E3B93" w:rsidP="00BD23DF">
      <w:r w:rsidRPr="00BD23DF">
        <w:rPr>
          <w:b/>
        </w:rPr>
        <w:t>Observation 2</w:t>
      </w:r>
      <w:r w:rsidR="00BD23DF">
        <w:t xml:space="preserve">: </w:t>
      </w:r>
      <w:r w:rsidRPr="00BD23DF">
        <w:t>S-</w:t>
      </w:r>
      <w:proofErr w:type="spellStart"/>
      <w:r w:rsidRPr="00BD23DF">
        <w:t>KeNB</w:t>
      </w:r>
      <w:proofErr w:type="spellEnd"/>
      <w:r w:rsidRPr="00BD23DF">
        <w:t xml:space="preserve"> could be </w:t>
      </w:r>
      <w:r w:rsidR="00A80FAA" w:rsidRPr="00BD23DF">
        <w:t xml:space="preserve">configured to be </w:t>
      </w:r>
      <w:r w:rsidRPr="00BD23DF">
        <w:t>used</w:t>
      </w:r>
      <w:r w:rsidR="002827F8" w:rsidRPr="00BD23DF">
        <w:t xml:space="preserve"> </w:t>
      </w:r>
      <w:r w:rsidRPr="00BD23DF">
        <w:t>for all split bearers in LTE-NR DC.</w:t>
      </w:r>
    </w:p>
    <w:p w14:paraId="26F4A450" w14:textId="6C6F065F" w:rsidR="0001284B" w:rsidRDefault="0001284B" w:rsidP="0001284B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PDCP-</w:t>
      </w:r>
      <w:proofErr w:type="spellStart"/>
      <w:r>
        <w:t>config</w:t>
      </w:r>
      <w:proofErr w:type="spellEnd"/>
    </w:p>
    <w:p w14:paraId="7A5467A4" w14:textId="679B5119" w:rsidR="001E3B93" w:rsidRDefault="00B429C8" w:rsidP="001E3B93">
      <w:r>
        <w:t xml:space="preserve">By current assumptions, </w:t>
      </w:r>
      <w:r w:rsidR="002827F8">
        <w:t>UE will receive the RRC configuration for a split bearer from the Master Node, in an RRC message where the RRC configuration provided by the Secondary Node is placed in a transparent RRC container. Thus, the location of PDCP-</w:t>
      </w:r>
      <w:proofErr w:type="spellStart"/>
      <w:r w:rsidR="002827F8">
        <w:t>config</w:t>
      </w:r>
      <w:proofErr w:type="spellEnd"/>
      <w:r w:rsidR="002827F8">
        <w:t xml:space="preserve"> for a split bearer would depend on whether the configuration is generated by the M</w:t>
      </w:r>
      <w:r w:rsidR="002B5CE1">
        <w:t>eNB</w:t>
      </w:r>
      <w:r w:rsidR="002827F8">
        <w:t xml:space="preserve"> (in which case the PDCP-</w:t>
      </w:r>
      <w:proofErr w:type="spellStart"/>
      <w:r w:rsidR="002827F8">
        <w:t>config</w:t>
      </w:r>
      <w:proofErr w:type="spellEnd"/>
      <w:r w:rsidR="002827F8">
        <w:t xml:space="preserve"> is not part of the container) or the S</w:t>
      </w:r>
      <w:r w:rsidR="002B5CE1">
        <w:t>gNB</w:t>
      </w:r>
      <w:r w:rsidR="002827F8">
        <w:t xml:space="preserve"> (in which case the PDCP-</w:t>
      </w:r>
      <w:proofErr w:type="spellStart"/>
      <w:r w:rsidR="002827F8">
        <w:t>config</w:t>
      </w:r>
      <w:proofErr w:type="spellEnd"/>
      <w:r w:rsidR="002827F8">
        <w:t xml:space="preserve"> would be part of the container).</w:t>
      </w:r>
    </w:p>
    <w:p w14:paraId="6D8C4B18" w14:textId="1718C2FF" w:rsidR="002827F8" w:rsidRDefault="002827F8" w:rsidP="001E3B93">
      <w:r>
        <w:t>It seems possible to unify these two options by defining an RRC container separate from the one that will contain e.g. the RLC-</w:t>
      </w:r>
      <w:proofErr w:type="spellStart"/>
      <w:r>
        <w:t>config</w:t>
      </w:r>
      <w:proofErr w:type="spellEnd"/>
      <w:r>
        <w:t xml:space="preserve"> provided by the SN, such that the PDCP-</w:t>
      </w:r>
      <w:proofErr w:type="spellStart"/>
      <w:r>
        <w:t>config</w:t>
      </w:r>
      <w:proofErr w:type="spellEnd"/>
      <w:r>
        <w:t xml:space="preserve"> is always placed in this separate container. It could still be generated by either the </w:t>
      </w:r>
      <w:proofErr w:type="spellStart"/>
      <w:r w:rsidR="008029B5">
        <w:t>eNB</w:t>
      </w:r>
      <w:proofErr w:type="spellEnd"/>
      <w:r>
        <w:t xml:space="preserve"> or the </w:t>
      </w:r>
      <w:r w:rsidR="008029B5">
        <w:t>gNB</w:t>
      </w:r>
      <w:r>
        <w:t>.</w:t>
      </w:r>
    </w:p>
    <w:p w14:paraId="0208925D" w14:textId="4A8FA195" w:rsidR="002827F8" w:rsidRPr="001E3B93" w:rsidRDefault="002827F8" w:rsidP="00BD23DF">
      <w:r w:rsidRPr="0001284B">
        <w:rPr>
          <w:b/>
        </w:rPr>
        <w:t xml:space="preserve">Observation </w:t>
      </w:r>
      <w:r>
        <w:rPr>
          <w:b/>
        </w:rPr>
        <w:t>3</w:t>
      </w:r>
      <w:r w:rsidR="00BD23DF">
        <w:t xml:space="preserve">: </w:t>
      </w:r>
      <w:r>
        <w:t xml:space="preserve">PDCP configuration for all split bearers in LTE-NR DC could be </w:t>
      </w:r>
      <w:r w:rsidR="006128DE">
        <w:t>provided to the UE</w:t>
      </w:r>
      <w:r>
        <w:t xml:space="preserve"> in an RRC container separate from</w:t>
      </w:r>
      <w:r w:rsidRPr="002827F8">
        <w:t xml:space="preserve"> </w:t>
      </w:r>
      <w:r>
        <w:t>the one that will contain e.g. the RLC-</w:t>
      </w:r>
      <w:proofErr w:type="spellStart"/>
      <w:r>
        <w:t>config</w:t>
      </w:r>
      <w:proofErr w:type="spellEnd"/>
      <w:r>
        <w:t xml:space="preserve"> provided by the SN, such that the PDCP-</w:t>
      </w:r>
      <w:proofErr w:type="spellStart"/>
      <w:r>
        <w:t>config</w:t>
      </w:r>
      <w:proofErr w:type="spellEnd"/>
      <w:r>
        <w:t xml:space="preserve"> is always placed in this separate container.</w:t>
      </w:r>
    </w:p>
    <w:p w14:paraId="12505B9F" w14:textId="288CBB54" w:rsidR="0001284B" w:rsidRPr="006E13D1" w:rsidRDefault="0001284B" w:rsidP="0001284B">
      <w:pPr>
        <w:pStyle w:val="Heading2"/>
      </w:pPr>
      <w:r>
        <w:t>2</w:t>
      </w:r>
      <w:r w:rsidRPr="006E13D1">
        <w:t>.</w:t>
      </w:r>
      <w:r>
        <w:t>4</w:t>
      </w:r>
      <w:r w:rsidRPr="006E13D1">
        <w:tab/>
      </w:r>
      <w:r>
        <w:t>L2 buffer size</w:t>
      </w:r>
    </w:p>
    <w:p w14:paraId="4DC7B542" w14:textId="4F2D09C1" w:rsidR="0001284B" w:rsidRDefault="009B1D43" w:rsidP="00CD4C7B">
      <w:r>
        <w:t xml:space="preserve">As captured in TR 38.804, </w:t>
      </w:r>
      <w:r w:rsidR="00016AAE">
        <w:t xml:space="preserve">if </w:t>
      </w:r>
      <w:r w:rsidR="00C57F0E">
        <w:t>any throughput bottleneck</w:t>
      </w:r>
      <w:r w:rsidR="00016AAE">
        <w:t xml:space="preserve"> is to be avoided,</w:t>
      </w:r>
      <w:r w:rsidR="00C57F0E">
        <w:t xml:space="preserve"> the L2 buffer size with </w:t>
      </w:r>
      <w:r w:rsidR="00DD652C">
        <w:t xml:space="preserve">bearers split at the </w:t>
      </w:r>
      <w:r w:rsidR="00C57F0E">
        <w:t>gNB</w:t>
      </w:r>
      <w:r w:rsidR="00DD652C">
        <w:t xml:space="preserve"> may </w:t>
      </w:r>
      <w:r w:rsidR="00C57F0E">
        <w:t>need to be</w:t>
      </w:r>
      <w:r w:rsidR="00DD652C">
        <w:t xml:space="preserve"> larger than </w:t>
      </w:r>
      <w:r w:rsidR="00C57F0E">
        <w:t xml:space="preserve">with </w:t>
      </w:r>
      <w:r w:rsidR="00DD652C">
        <w:t xml:space="preserve">bearers split at </w:t>
      </w:r>
      <w:r w:rsidR="00C57F0E">
        <w:t xml:space="preserve">the </w:t>
      </w:r>
      <w:proofErr w:type="spellStart"/>
      <w:r w:rsidR="00C57F0E">
        <w:t>eNB</w:t>
      </w:r>
      <w:proofErr w:type="spellEnd"/>
      <w:r w:rsidR="00C57F0E">
        <w:t xml:space="preserve">. However, </w:t>
      </w:r>
      <w:proofErr w:type="gramStart"/>
      <w:r w:rsidR="00C57F0E">
        <w:t>as long as</w:t>
      </w:r>
      <w:proofErr w:type="gramEnd"/>
      <w:r w:rsidR="00C57F0E">
        <w:t xml:space="preserve"> the network knows the </w:t>
      </w:r>
      <w:r w:rsidR="00A80FAA">
        <w:t xml:space="preserve">(total) </w:t>
      </w:r>
      <w:r w:rsidR="00C57F0E">
        <w:t>buffer size supported by the UE, it can take it into account</w:t>
      </w:r>
      <w:r w:rsidR="00243400">
        <w:t xml:space="preserve"> by </w:t>
      </w:r>
      <w:r w:rsidR="00EE60AB">
        <w:t>limiting the size of active transmission windows if necessary</w:t>
      </w:r>
      <w:r w:rsidR="00C57F0E">
        <w:t xml:space="preserve">. </w:t>
      </w:r>
      <w:proofErr w:type="gramStart"/>
      <w:r w:rsidR="00C57F0E">
        <w:t>So</w:t>
      </w:r>
      <w:proofErr w:type="gramEnd"/>
      <w:r w:rsidR="00C57F0E">
        <w:t xml:space="preserve"> </w:t>
      </w:r>
      <w:r w:rsidR="00C57F0E">
        <w:lastRenderedPageBreak/>
        <w:t>unlike done so far with LTE specifications, there seems to be no strict need to bind the UE’s supported L2 buffer size to any specific bearer variant.</w:t>
      </w:r>
    </w:p>
    <w:p w14:paraId="477FE8AE" w14:textId="545E07CA" w:rsidR="00C57F0E" w:rsidRPr="0001284B" w:rsidRDefault="00C57F0E" w:rsidP="00C57F0E">
      <w:pPr>
        <w:ind w:left="1704" w:hanging="1416"/>
      </w:pPr>
      <w:r w:rsidRPr="0001284B">
        <w:rPr>
          <w:b/>
        </w:rPr>
        <w:t xml:space="preserve">Observation </w:t>
      </w:r>
      <w:r>
        <w:rPr>
          <w:b/>
        </w:rPr>
        <w:t>4</w:t>
      </w:r>
      <w:r>
        <w:t>:</w:t>
      </w:r>
      <w:r>
        <w:tab/>
        <w:t>L2 buffer size could be a UE capability independent of supported bearer types.</w:t>
      </w:r>
    </w:p>
    <w:p w14:paraId="43A12B72" w14:textId="5A5F9424" w:rsidR="00CD4C7B" w:rsidRPr="006E13D1" w:rsidRDefault="00C57F0E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4E6D65D8" w14:textId="2D02DC57" w:rsidR="00C57F0E" w:rsidRDefault="00C57F0E" w:rsidP="00CD4C7B">
      <w:r>
        <w:t>In this contribution, we discussed p</w:t>
      </w:r>
      <w:r w:rsidRPr="00C57F0E">
        <w:t>ossibilities to unify split b</w:t>
      </w:r>
      <w:r>
        <w:t>earer type options for LTE-NR DC, and made the following observations:</w:t>
      </w:r>
    </w:p>
    <w:p w14:paraId="3161C748" w14:textId="77777777" w:rsidR="002B5CE1" w:rsidRPr="0001284B" w:rsidRDefault="002B5CE1" w:rsidP="00BD23DF">
      <w:r w:rsidRPr="0001284B">
        <w:rPr>
          <w:b/>
        </w:rPr>
        <w:t>Observation 1</w:t>
      </w:r>
      <w:r>
        <w:t>:</w:t>
      </w:r>
      <w:r>
        <w:tab/>
        <w:t>PDCP operation for all split bearers in LTE-NR DC could be one and the same, based on the NR-PDCP specification.</w:t>
      </w:r>
    </w:p>
    <w:p w14:paraId="2EA342F3" w14:textId="77777777" w:rsidR="002B5CE1" w:rsidRPr="0001284B" w:rsidRDefault="002B5CE1" w:rsidP="00BD23DF">
      <w:r w:rsidRPr="0001284B">
        <w:rPr>
          <w:b/>
        </w:rPr>
        <w:t xml:space="preserve">Observation </w:t>
      </w:r>
      <w:r>
        <w:rPr>
          <w:b/>
        </w:rPr>
        <w:t>2</w:t>
      </w:r>
      <w:r>
        <w:t>:</w:t>
      </w:r>
      <w:r>
        <w:tab/>
        <w:t>S-</w:t>
      </w:r>
      <w:proofErr w:type="spellStart"/>
      <w:r>
        <w:t>KeNB</w:t>
      </w:r>
      <w:proofErr w:type="spellEnd"/>
      <w:r>
        <w:t xml:space="preserve"> could be configured to be used for all split bearers in LTE-NR DC.</w:t>
      </w:r>
    </w:p>
    <w:p w14:paraId="3DFC81DC" w14:textId="77777777" w:rsidR="002B5CE1" w:rsidRPr="001E3B93" w:rsidRDefault="002B5CE1" w:rsidP="00BD23DF">
      <w:r w:rsidRPr="0001284B">
        <w:rPr>
          <w:b/>
        </w:rPr>
        <w:t xml:space="preserve">Observation </w:t>
      </w:r>
      <w:r>
        <w:rPr>
          <w:b/>
        </w:rPr>
        <w:t>3</w:t>
      </w:r>
      <w:r>
        <w:t>:</w:t>
      </w:r>
      <w:r>
        <w:tab/>
        <w:t>PDCP configuration for all split bearers in LTE-NR DC could be provided to the UE in an RRC container separate from</w:t>
      </w:r>
      <w:r w:rsidRPr="002827F8">
        <w:t xml:space="preserve"> </w:t>
      </w:r>
      <w:r>
        <w:t>the one that will contain e.g. the RLC-</w:t>
      </w:r>
      <w:proofErr w:type="spellStart"/>
      <w:r>
        <w:t>config</w:t>
      </w:r>
      <w:proofErr w:type="spellEnd"/>
      <w:r>
        <w:t xml:space="preserve"> provided by the SN, such that the PDCP-</w:t>
      </w:r>
      <w:proofErr w:type="spellStart"/>
      <w:r>
        <w:t>config</w:t>
      </w:r>
      <w:proofErr w:type="spellEnd"/>
      <w:r>
        <w:t xml:space="preserve"> is always placed in this separate container.</w:t>
      </w:r>
    </w:p>
    <w:p w14:paraId="1D619FDE" w14:textId="77777777" w:rsidR="002B5CE1" w:rsidRPr="0001284B" w:rsidRDefault="002B5CE1" w:rsidP="00BD23DF">
      <w:r w:rsidRPr="0001284B">
        <w:rPr>
          <w:b/>
        </w:rPr>
        <w:t xml:space="preserve">Observation </w:t>
      </w:r>
      <w:r>
        <w:rPr>
          <w:b/>
        </w:rPr>
        <w:t>4</w:t>
      </w:r>
      <w:r>
        <w:t>:</w:t>
      </w:r>
      <w:r>
        <w:tab/>
        <w:t>L2 buffer size could be a UE capability independent of supported bearer types.</w:t>
      </w:r>
    </w:p>
    <w:p w14:paraId="61A7A040" w14:textId="0A3BA69A" w:rsidR="00C57F0E" w:rsidRDefault="00C57F0E" w:rsidP="00CD4C7B">
      <w:r>
        <w:t>Based on these, we conclude with the following.</w:t>
      </w:r>
    </w:p>
    <w:p w14:paraId="15791E4B" w14:textId="40C8F56C" w:rsidR="00C57F0E" w:rsidRDefault="00C57F0E" w:rsidP="00CD4C7B">
      <w:r w:rsidRPr="00C57F0E">
        <w:rPr>
          <w:b/>
        </w:rPr>
        <w:t>Proposal</w:t>
      </w:r>
      <w:r w:rsidR="00BD23DF">
        <w:t xml:space="preserve">: </w:t>
      </w:r>
      <w:r w:rsidR="00016AAE">
        <w:t>RAN2 consider Observations 1-4 in the attempts to unify</w:t>
      </w:r>
      <w:r w:rsidR="00016AAE" w:rsidRPr="000C559C">
        <w:t xml:space="preserve"> </w:t>
      </w:r>
      <w:r w:rsidR="00016AAE">
        <w:t xml:space="preserve">split </w:t>
      </w:r>
      <w:r w:rsidR="00016AAE" w:rsidRPr="000C559C">
        <w:t>bearer type option</w:t>
      </w:r>
      <w:r w:rsidR="00016AAE">
        <w:t>s</w:t>
      </w:r>
      <w:r w:rsidR="00016AAE" w:rsidRPr="000C559C">
        <w:t xml:space="preserve"> for LTE-NR DC</w:t>
      </w:r>
      <w:r w:rsidR="00016AAE"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75086397"/>
    <w:p w14:paraId="4AA5C936" w14:textId="4A6BCF07" w:rsidR="00CD4C7B" w:rsidRPr="006E13D1" w:rsidRDefault="008A1DDA" w:rsidP="008A1DD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"http://www.3gpp.org/ftp/tsg_ran/WG2_RL2/TSGR2_97bis/Docs/R2-1703170.zip" </w:instrText>
      </w:r>
      <w:r>
        <w:fldChar w:fldCharType="separate"/>
      </w:r>
      <w:r>
        <w:rPr>
          <w:rStyle w:val="Hyperlink"/>
        </w:rPr>
        <w:t>R2-1703170</w:t>
      </w:r>
      <w:r>
        <w:fldChar w:fldCharType="end"/>
      </w:r>
      <w:r w:rsidR="00CD4C7B" w:rsidRPr="006E13D1">
        <w:t xml:space="preserve"> </w:t>
      </w:r>
      <w:bookmarkEnd w:id="2"/>
      <w:r w:rsidRPr="008A1DDA">
        <w:rPr>
          <w:i/>
          <w:iCs/>
        </w:rPr>
        <w:t>Consideration on split bearer for EN-DC</w:t>
      </w:r>
      <w:r w:rsidR="0090466A">
        <w:t xml:space="preserve"> - </w:t>
      </w:r>
      <w:r w:rsidRPr="008A1DDA">
        <w:t>NTT DOCOMO, INC.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10CC2" w14:textId="77777777" w:rsidR="00942C54" w:rsidRDefault="00942C54">
      <w:r>
        <w:separator/>
      </w:r>
    </w:p>
  </w:endnote>
  <w:endnote w:type="continuationSeparator" w:id="0">
    <w:p w14:paraId="2F1C8097" w14:textId="77777777" w:rsidR="00942C54" w:rsidRDefault="0094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025ED" w14:textId="77777777" w:rsidR="00942C54" w:rsidRDefault="00942C54">
      <w:r>
        <w:separator/>
      </w:r>
    </w:p>
  </w:footnote>
  <w:footnote w:type="continuationSeparator" w:id="0">
    <w:p w14:paraId="660784F0" w14:textId="77777777" w:rsidR="00942C54" w:rsidRDefault="00942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84B"/>
    <w:rsid w:val="00016AAE"/>
    <w:rsid w:val="00033397"/>
    <w:rsid w:val="00040095"/>
    <w:rsid w:val="00080512"/>
    <w:rsid w:val="00090468"/>
    <w:rsid w:val="000B7BCF"/>
    <w:rsid w:val="000C522B"/>
    <w:rsid w:val="000D58AB"/>
    <w:rsid w:val="00107600"/>
    <w:rsid w:val="00145075"/>
    <w:rsid w:val="001741A0"/>
    <w:rsid w:val="00194CD0"/>
    <w:rsid w:val="001B49C9"/>
    <w:rsid w:val="001E3B93"/>
    <w:rsid w:val="001F168B"/>
    <w:rsid w:val="001F7831"/>
    <w:rsid w:val="00204045"/>
    <w:rsid w:val="0022606D"/>
    <w:rsid w:val="00243400"/>
    <w:rsid w:val="002747EC"/>
    <w:rsid w:val="002827F8"/>
    <w:rsid w:val="002855BF"/>
    <w:rsid w:val="002B5CE1"/>
    <w:rsid w:val="002F0D22"/>
    <w:rsid w:val="003172DC"/>
    <w:rsid w:val="00326069"/>
    <w:rsid w:val="0035462D"/>
    <w:rsid w:val="0037692E"/>
    <w:rsid w:val="003B40AD"/>
    <w:rsid w:val="003C4E37"/>
    <w:rsid w:val="003E16BE"/>
    <w:rsid w:val="00401855"/>
    <w:rsid w:val="00477455"/>
    <w:rsid w:val="004937A1"/>
    <w:rsid w:val="004D3578"/>
    <w:rsid w:val="004D380D"/>
    <w:rsid w:val="004E213A"/>
    <w:rsid w:val="00503171"/>
    <w:rsid w:val="00506C28"/>
    <w:rsid w:val="00511BE8"/>
    <w:rsid w:val="00534DA0"/>
    <w:rsid w:val="00543E6C"/>
    <w:rsid w:val="00565087"/>
    <w:rsid w:val="0056573F"/>
    <w:rsid w:val="005D1814"/>
    <w:rsid w:val="005D1F3E"/>
    <w:rsid w:val="00611566"/>
    <w:rsid w:val="006128DE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B18D8"/>
    <w:rsid w:val="007C095F"/>
    <w:rsid w:val="007E3DB6"/>
    <w:rsid w:val="007F1876"/>
    <w:rsid w:val="008028A4"/>
    <w:rsid w:val="008029B5"/>
    <w:rsid w:val="00813245"/>
    <w:rsid w:val="008768CA"/>
    <w:rsid w:val="00877EF9"/>
    <w:rsid w:val="00880559"/>
    <w:rsid w:val="008A1DDA"/>
    <w:rsid w:val="008B5306"/>
    <w:rsid w:val="0090271F"/>
    <w:rsid w:val="00902DB9"/>
    <w:rsid w:val="0090466A"/>
    <w:rsid w:val="009141A0"/>
    <w:rsid w:val="00936071"/>
    <w:rsid w:val="00940212"/>
    <w:rsid w:val="00942C54"/>
    <w:rsid w:val="00942EC2"/>
    <w:rsid w:val="00961B32"/>
    <w:rsid w:val="00970DB3"/>
    <w:rsid w:val="00974BB0"/>
    <w:rsid w:val="009A0AF3"/>
    <w:rsid w:val="009B07CD"/>
    <w:rsid w:val="009B1D43"/>
    <w:rsid w:val="009C19E9"/>
    <w:rsid w:val="00A10F02"/>
    <w:rsid w:val="00A204CA"/>
    <w:rsid w:val="00A27DE4"/>
    <w:rsid w:val="00A53724"/>
    <w:rsid w:val="00A80FAA"/>
    <w:rsid w:val="00A82346"/>
    <w:rsid w:val="00A9671C"/>
    <w:rsid w:val="00AA1553"/>
    <w:rsid w:val="00B15449"/>
    <w:rsid w:val="00B429C8"/>
    <w:rsid w:val="00B47FD1"/>
    <w:rsid w:val="00B516BB"/>
    <w:rsid w:val="00BD23DF"/>
    <w:rsid w:val="00C12B51"/>
    <w:rsid w:val="00C24650"/>
    <w:rsid w:val="00C33079"/>
    <w:rsid w:val="00C57F0E"/>
    <w:rsid w:val="00C83A13"/>
    <w:rsid w:val="00C9068C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D652C"/>
    <w:rsid w:val="00E62835"/>
    <w:rsid w:val="00E77645"/>
    <w:rsid w:val="00E83697"/>
    <w:rsid w:val="00EC4A25"/>
    <w:rsid w:val="00EE60AB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D1F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D1F3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80F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0FAA"/>
  </w:style>
  <w:style w:type="character" w:customStyle="1" w:styleId="CommentTextChar">
    <w:name w:val="Comment Text Char"/>
    <w:basedOn w:val="DefaultParagraphFont"/>
    <w:link w:val="CommentText"/>
    <w:rsid w:val="00A80F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0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FA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SP-5AIRPNAIUNRU-859666464-262</_dlc_DocId>
    <_dlc_DocIdUrl xmlns="71c5aaf6-e6ce-465b-b873-5148d2a4c105">
      <Url>https://nokia.sharepoint.com/sites/c5g/e2earch/_layouts/15/DocIdRedir.aspx?ID=SP-5AIRPNAIUNRU-859666464-262</Url>
      <Description>SP-5AIRPNAIUNRU-859666464-262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C9B98-AB63-4FF5-BBF7-245BB500F5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5EDFEE-CB2A-4C97-97EF-3C76176AD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A0DF6-A16C-48C3-99EF-239B9CA59FA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6820489-4178-4C03-AFD2-E3EA2C205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</TotalTime>
  <Pages>2</Pages>
  <Words>575</Words>
  <Characters>3282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3</cp:revision>
  <dcterms:created xsi:type="dcterms:W3CDTF">2017-05-03T07:26:00Z</dcterms:created>
  <dcterms:modified xsi:type="dcterms:W3CDTF">2017-05-03T07:29:00Z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55d2c3d8-90f6-4d57-8084-aa6d3b54520f</vt:lpwstr>
  </property>
</Properties>
</file>